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19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2 020 года 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gridSpan w:val="2"/>
            <w:tcW w:w="1877" w:type="dxa"/>
            <w:vAlign w:val="top"/>
            <w:shd w:val="clear" w:color="FFFFFF" w:fill="auto"/>
            <w:tcBorders>
              <w:lef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Галяутдинова Гульнара Ревалевна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1 319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restart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566 594,3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6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Галяутдинова Гульнара Ревалевна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Начальник МКУ "Отдел культуры" Атнинского районного исполнительного комитета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Долевая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1"/>
            </w:pPr>
            <w:r>
              <w:t>55,8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7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2"/>
            </w:pPr>
            <w:r>
              <w:t/>
            </w:r>
          </w:p>
        </w:tc>
        <w:tc>
          <w:tcPr>
            <w:vMerge w:val="continue"/>
            <w:gridSpan w:val="2"/>
            <w:tcW w:w="187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>нет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5"/>
            </w:pPr>
            <w:r>
              <w:t>566 594,3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0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76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5841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16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16">
    <w:name w:val="1CStyle16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6">
    <w:name w:val="1CStyle6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