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4F" w:rsidRPr="00B5694F" w:rsidRDefault="00B5694F" w:rsidP="00B5694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B5694F">
        <w:rPr>
          <w:rFonts w:ascii="Times New Roman" w:hAnsi="Times New Roman" w:cs="Times New Roman"/>
          <w:sz w:val="28"/>
        </w:rPr>
        <w:t>Минсельхоз ожидает роста агрострахования после внесения изменений в закон о господдержке в этой сфере</w:t>
      </w:r>
    </w:p>
    <w:bookmarkEnd w:id="0"/>
    <w:p w:rsidR="00B5694F" w:rsidRPr="00B5694F" w:rsidRDefault="00B5694F" w:rsidP="00B5694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694F">
        <w:rPr>
          <w:rFonts w:ascii="Times New Roman" w:hAnsi="Times New Roman" w:cs="Times New Roman"/>
          <w:sz w:val="28"/>
        </w:rPr>
        <w:t>1 марта 2019 года вступает в силу федеральный закон №563-ФЗ «О внесении изменений в федеральный закон «О государственной поддержке в сфере сельскохозяйственного страхования и о внесении изменений в федеральный закон «О развитии сельского хозяйства». Его принятие позволит усовершенствовать механизм сельхозстрахования и повысить интерес как у аграриев, так и у страховых организаций к данной мере государственной поддержки.</w:t>
      </w:r>
    </w:p>
    <w:p w:rsidR="00B5694F" w:rsidRPr="00B5694F" w:rsidRDefault="00B5694F" w:rsidP="00B5694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694F">
        <w:rPr>
          <w:rFonts w:ascii="Times New Roman" w:hAnsi="Times New Roman" w:cs="Times New Roman"/>
          <w:sz w:val="28"/>
        </w:rPr>
        <w:t>В частности, закон предусматривает возможность заключения договоров сельхозстрахования с господдержкой на случай риска утраты (гибели) урожая, посадок многолетних насаждений, а также сельскохозяйственных животных в результате воздействия всех, нескольких или одного из опасных для сельхозпроизводства событий. Также исключено пороговое значение размера утраты урожая и посадок многолетних насаждений при одновременном установлении обязательной безусловной франшизы, минимальный размер которой не может быть менее 10% от страховой суммы. Это позволит обеспечить выплаты страхового возмещения при минимальной утрате урожая сельхозкультур. Кроме того, изменения предполагают увеличение максимального размера безусловной франшизы с 30% до 50% от страховой суммы и расширение перечня страховых событий.</w:t>
      </w:r>
    </w:p>
    <w:p w:rsidR="00B5694F" w:rsidRPr="00B5694F" w:rsidRDefault="00B5694F" w:rsidP="00B5694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694F">
        <w:rPr>
          <w:rFonts w:ascii="Times New Roman" w:hAnsi="Times New Roman" w:cs="Times New Roman"/>
          <w:sz w:val="28"/>
        </w:rPr>
        <w:t>В результате Минсельхоз России ожидает появления более дешевых и привлекательных страховых продуктов, а также роста интереса у аграриев и страховых организаций к сельхозстрахованию, в том числе в зонах рискованного земледелия.</w:t>
      </w:r>
    </w:p>
    <w:p w:rsidR="004D6CE4" w:rsidRPr="00B5694F" w:rsidRDefault="00B5694F" w:rsidP="00B5694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694F">
        <w:rPr>
          <w:rFonts w:ascii="Times New Roman" w:hAnsi="Times New Roman" w:cs="Times New Roman"/>
          <w:sz w:val="28"/>
        </w:rPr>
        <w:t>По прогнозам Минсельхоза России, реализация указанных мер позволит увеличить долю застрахованного поголовья сельскохозяйственных животных к 2020 году до 16,7%, а к 2025 году – до 26,1%. Доля застрахованной посевной площади возрастет до 4,2% к 2020 году и до 11,3% к 2025 году.</w:t>
      </w:r>
    </w:p>
    <w:sectPr w:rsidR="004D6CE4" w:rsidRPr="00B5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4F"/>
    <w:rsid w:val="001547A0"/>
    <w:rsid w:val="004D6CE4"/>
    <w:rsid w:val="00B5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2019-02-18T11:53:00Z</dcterms:created>
  <dcterms:modified xsi:type="dcterms:W3CDTF">2019-02-18T11:53:00Z</dcterms:modified>
</cp:coreProperties>
</file>